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99"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111099" w:rsidRPr="00111099">
        <w:rPr>
          <w:b/>
          <w:sz w:val="24"/>
          <w:szCs w:val="24"/>
        </w:rPr>
        <w:t xml:space="preserve">реконструкции объекта энергетики регионального значения кабельно-воздушная линия напряжением </w:t>
      </w:r>
    </w:p>
    <w:p w:rsidR="00275173" w:rsidRPr="00275173" w:rsidRDefault="00111099" w:rsidP="00275173">
      <w:pPr>
        <w:pStyle w:val="a3"/>
        <w:tabs>
          <w:tab w:val="left" w:pos="567"/>
        </w:tabs>
        <w:jc w:val="center"/>
        <w:rPr>
          <w:b/>
          <w:sz w:val="24"/>
          <w:szCs w:val="24"/>
        </w:rPr>
      </w:pPr>
      <w:r w:rsidRPr="00111099">
        <w:rPr>
          <w:b/>
          <w:sz w:val="24"/>
          <w:szCs w:val="24"/>
        </w:rPr>
        <w:t>110 кВ «Павелецкая - Берсеневская, ГЭС-1 - Павелецкая»</w:t>
      </w:r>
    </w:p>
    <w:tbl>
      <w:tblPr>
        <w:tblStyle w:val="a5"/>
        <w:tblW w:w="10490" w:type="dxa"/>
        <w:tblInd w:w="-176" w:type="dxa"/>
        <w:tblLayout w:type="fixed"/>
        <w:tblLook w:val="04A0"/>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E64BD1">
        <w:trPr>
          <w:trHeight w:val="1615"/>
        </w:trPr>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1875F7" w:rsidP="00DC5626">
            <w:pPr>
              <w:rPr>
                <w:sz w:val="19"/>
                <w:szCs w:val="19"/>
              </w:rPr>
            </w:pPr>
            <w:r>
              <w:rPr>
                <w:sz w:val="19"/>
                <w:szCs w:val="19"/>
              </w:rPr>
              <w:t>Д</w:t>
            </w:r>
            <w:r w:rsidRPr="001875F7">
              <w:rPr>
                <w:sz w:val="19"/>
                <w:szCs w:val="19"/>
              </w:rPr>
              <w:t xml:space="preserve">ля </w:t>
            </w:r>
            <w:r w:rsidR="00111099" w:rsidRPr="00111099">
              <w:rPr>
                <w:sz w:val="19"/>
                <w:szCs w:val="19"/>
              </w:rPr>
              <w:t>реконструкции объекта энергетики регионального значения кабельно-воздушная линия напряжением 110 кВ «Павелецкая - Берсеневская, ГЭС-1 - Павелецкая»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E64BD1" w:rsidRDefault="00D23BD3" w:rsidP="00DC5626">
            <w:pPr>
              <w:rPr>
                <w:sz w:val="19"/>
                <w:szCs w:val="19"/>
              </w:rPr>
            </w:pPr>
            <w:r w:rsidRPr="00D23BD3">
              <w:rPr>
                <w:sz w:val="19"/>
                <w:szCs w:val="19"/>
              </w:rPr>
              <w:t xml:space="preserve">земельные участки с кадастровыми номерами </w:t>
            </w:r>
            <w:r w:rsidR="00111099" w:rsidRPr="00111099">
              <w:rPr>
                <w:sz w:val="19"/>
                <w:szCs w:val="19"/>
              </w:rPr>
              <w:t>77:01:0002021:53, 77:01:0006021:2, 77:01:0002021:48, 77:01:0002022:114, 77:01:0002022:116, 77:01:0002022:2873, 77:01:0002022:115, 77:01:0002022:109, 77:01:0002022:4530, 77:01:0002022:110, 77:01:0002014:123, 77:01:0002014:128, 77:01:0002014:125, 77:01:0002014:129, 77:01:0006019:7, 77:01:0006018:91, 77:01:0006000:29, 77:05:0001001:113, 77:05:0001001:72, 77:05:0001001:5383, 77:05:0001001:43, 77:05:0001001:110, 77:05:0001001:103, 77:05:0001001:115, 77:05:0001001:106</w:t>
            </w:r>
            <w:r w:rsidRPr="00D23BD3">
              <w:rPr>
                <w:sz w:val="19"/>
                <w:szCs w:val="19"/>
              </w:rPr>
              <w:t xml:space="preserve"> и земли, находящиеся в кадастровых кварталах </w:t>
            </w:r>
            <w:r w:rsidR="00111099" w:rsidRPr="00111099">
              <w:rPr>
                <w:sz w:val="19"/>
                <w:szCs w:val="19"/>
              </w:rPr>
              <w:t>77:01:0002022, 77:01:0006018, 77:05:0001001</w:t>
            </w:r>
            <w:r w:rsidR="006407DC" w:rsidRPr="006407DC">
              <w:rPr>
                <w:sz w:val="19"/>
                <w:szCs w:val="19"/>
              </w:rPr>
              <w:t xml:space="preserve"> </w:t>
            </w:r>
          </w:p>
          <w:p w:rsidR="001875F7" w:rsidRPr="004D73F1" w:rsidRDefault="006407DC" w:rsidP="00DC5626">
            <w:pPr>
              <w:rPr>
                <w:sz w:val="19"/>
                <w:szCs w:val="19"/>
              </w:rPr>
            </w:pPr>
            <w:r w:rsidRPr="006407DC">
              <w:rPr>
                <w:sz w:val="19"/>
                <w:szCs w:val="19"/>
              </w:rPr>
              <w:t>Ц</w:t>
            </w:r>
            <w:r w:rsidR="001875F7">
              <w:rPr>
                <w:sz w:val="19"/>
                <w:szCs w:val="19"/>
              </w:rPr>
              <w:t>АО</w:t>
            </w:r>
            <w:r w:rsidR="00D23BD3">
              <w:rPr>
                <w:sz w:val="19"/>
                <w:szCs w:val="19"/>
              </w:rPr>
              <w:t>, ЮАО</w:t>
            </w:r>
          </w:p>
          <w:p w:rsidR="00275173" w:rsidRPr="004D73F1" w:rsidRDefault="00275173" w:rsidP="00DC5626">
            <w:pPr>
              <w:rPr>
                <w:sz w:val="19"/>
                <w:szCs w:val="19"/>
              </w:rPr>
            </w:pP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6407DC" w:rsidRPr="003C4E82" w:rsidRDefault="006407DC" w:rsidP="006407DC">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rsidR="006407DC" w:rsidRPr="003C4E82" w:rsidRDefault="006407DC" w:rsidP="006407DC">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rsidR="006407DC" w:rsidRPr="003C4E82" w:rsidRDefault="006407DC" w:rsidP="006407DC">
            <w:pPr>
              <w:rPr>
                <w:color w:val="000000"/>
                <w:sz w:val="19"/>
                <w:szCs w:val="19"/>
              </w:rPr>
            </w:pPr>
            <w:r w:rsidRPr="003C4E82">
              <w:rPr>
                <w:color w:val="000000"/>
                <w:sz w:val="19"/>
                <w:szCs w:val="19"/>
              </w:rPr>
              <w:t>(время приема круглосуточно)</w:t>
            </w:r>
          </w:p>
          <w:p w:rsidR="00275173" w:rsidRPr="004D73F1" w:rsidRDefault="006407DC" w:rsidP="006407DC">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D23BD3" w:rsidP="00D23BD3">
            <w:pPr>
              <w:rPr>
                <w:color w:val="000000"/>
                <w:sz w:val="19"/>
                <w:szCs w:val="19"/>
              </w:rPr>
            </w:pPr>
            <w:r>
              <w:rPr>
                <w:color w:val="000000"/>
                <w:sz w:val="19"/>
                <w:szCs w:val="19"/>
              </w:rPr>
              <w:t>По</w:t>
            </w:r>
            <w:r w:rsidRPr="00D23BD3">
              <w:rPr>
                <w:color w:val="000000"/>
                <w:sz w:val="19"/>
                <w:szCs w:val="19"/>
              </w:rPr>
              <w:t xml:space="preserve">становление Правительства Москвы от </w:t>
            </w:r>
            <w:r w:rsidR="005035BE">
              <w:rPr>
                <w:color w:val="000000"/>
                <w:sz w:val="19"/>
                <w:szCs w:val="19"/>
              </w:rPr>
              <w:t>11</w:t>
            </w:r>
            <w:r w:rsidRPr="00D23BD3">
              <w:rPr>
                <w:color w:val="000000"/>
                <w:sz w:val="19"/>
                <w:szCs w:val="19"/>
              </w:rPr>
              <w:t>.1</w:t>
            </w:r>
            <w:r w:rsidR="005035BE">
              <w:rPr>
                <w:color w:val="000000"/>
                <w:sz w:val="19"/>
                <w:szCs w:val="19"/>
              </w:rPr>
              <w:t>2</w:t>
            </w:r>
            <w:r w:rsidRPr="00D23BD3">
              <w:rPr>
                <w:color w:val="000000"/>
                <w:sz w:val="19"/>
                <w:szCs w:val="19"/>
              </w:rPr>
              <w:t>.2024 № 2</w:t>
            </w:r>
            <w:r w:rsidR="005035BE">
              <w:rPr>
                <w:color w:val="000000"/>
                <w:sz w:val="19"/>
                <w:szCs w:val="19"/>
              </w:rPr>
              <w:t>895</w:t>
            </w:r>
            <w:r w:rsidRPr="00D23BD3">
              <w:rPr>
                <w:color w:val="000000"/>
                <w:sz w:val="19"/>
                <w:szCs w:val="19"/>
              </w:rPr>
              <w:t>-ПП «Об утверждении проекта планировки территории линейного объекта – кабельные линии напряжением 110 кВ «</w:t>
            </w:r>
            <w:r w:rsidR="005035BE" w:rsidRPr="005035BE">
              <w:rPr>
                <w:color w:val="000000"/>
                <w:sz w:val="19"/>
                <w:szCs w:val="19"/>
              </w:rPr>
              <w:t>Павелецкая - Берсеневская, ГЭС-1 - Павелецкая</w:t>
            </w:r>
            <w:r w:rsidRPr="00D23BD3">
              <w:rPr>
                <w:color w:val="000000"/>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250DD"/>
    <w:rsid w:val="00002AD5"/>
    <w:rsid w:val="000478AD"/>
    <w:rsid w:val="00071B81"/>
    <w:rsid w:val="00080104"/>
    <w:rsid w:val="000846E6"/>
    <w:rsid w:val="000A23A5"/>
    <w:rsid w:val="000B28D9"/>
    <w:rsid w:val="000E63AA"/>
    <w:rsid w:val="001025A7"/>
    <w:rsid w:val="00111099"/>
    <w:rsid w:val="001330AC"/>
    <w:rsid w:val="001345EE"/>
    <w:rsid w:val="00171043"/>
    <w:rsid w:val="00177F8B"/>
    <w:rsid w:val="001875F7"/>
    <w:rsid w:val="001D696B"/>
    <w:rsid w:val="0021051F"/>
    <w:rsid w:val="002122A1"/>
    <w:rsid w:val="002166E6"/>
    <w:rsid w:val="0023248C"/>
    <w:rsid w:val="00234297"/>
    <w:rsid w:val="00275173"/>
    <w:rsid w:val="002E1576"/>
    <w:rsid w:val="002E3C18"/>
    <w:rsid w:val="002E733A"/>
    <w:rsid w:val="00346F49"/>
    <w:rsid w:val="00347514"/>
    <w:rsid w:val="00374677"/>
    <w:rsid w:val="003956F5"/>
    <w:rsid w:val="003A061C"/>
    <w:rsid w:val="003E56CD"/>
    <w:rsid w:val="00403600"/>
    <w:rsid w:val="004051AE"/>
    <w:rsid w:val="00430B29"/>
    <w:rsid w:val="00430BE7"/>
    <w:rsid w:val="0049616A"/>
    <w:rsid w:val="004F7C29"/>
    <w:rsid w:val="0050337E"/>
    <w:rsid w:val="005035BE"/>
    <w:rsid w:val="005521B6"/>
    <w:rsid w:val="005807CA"/>
    <w:rsid w:val="005A769F"/>
    <w:rsid w:val="005B76F0"/>
    <w:rsid w:val="005C20E0"/>
    <w:rsid w:val="006407DC"/>
    <w:rsid w:val="00684FA5"/>
    <w:rsid w:val="006C4B14"/>
    <w:rsid w:val="00706F08"/>
    <w:rsid w:val="007800B1"/>
    <w:rsid w:val="007A4C9A"/>
    <w:rsid w:val="007B1538"/>
    <w:rsid w:val="007C04A3"/>
    <w:rsid w:val="007E4321"/>
    <w:rsid w:val="007F09F3"/>
    <w:rsid w:val="00882987"/>
    <w:rsid w:val="008D24F0"/>
    <w:rsid w:val="008D49FA"/>
    <w:rsid w:val="00912CE1"/>
    <w:rsid w:val="00936AD1"/>
    <w:rsid w:val="009451B8"/>
    <w:rsid w:val="00961F97"/>
    <w:rsid w:val="009A2058"/>
    <w:rsid w:val="009D7E43"/>
    <w:rsid w:val="00A210AF"/>
    <w:rsid w:val="00A2322B"/>
    <w:rsid w:val="00A37099"/>
    <w:rsid w:val="00A73765"/>
    <w:rsid w:val="00AB163B"/>
    <w:rsid w:val="00AB346E"/>
    <w:rsid w:val="00AC3C29"/>
    <w:rsid w:val="00AD5DF1"/>
    <w:rsid w:val="00B03BBE"/>
    <w:rsid w:val="00B250DD"/>
    <w:rsid w:val="00B83E66"/>
    <w:rsid w:val="00B87882"/>
    <w:rsid w:val="00BA6A50"/>
    <w:rsid w:val="00BF57EF"/>
    <w:rsid w:val="00C35708"/>
    <w:rsid w:val="00C42626"/>
    <w:rsid w:val="00CA7A11"/>
    <w:rsid w:val="00D10681"/>
    <w:rsid w:val="00D23BD3"/>
    <w:rsid w:val="00D313C6"/>
    <w:rsid w:val="00D60926"/>
    <w:rsid w:val="00D61E27"/>
    <w:rsid w:val="00D81F43"/>
    <w:rsid w:val="00D83A75"/>
    <w:rsid w:val="00DA45AC"/>
    <w:rsid w:val="00E214F6"/>
    <w:rsid w:val="00E64BD1"/>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Pavel A. Minin</cp:lastModifiedBy>
  <cp:revision>2</cp:revision>
  <dcterms:created xsi:type="dcterms:W3CDTF">2025-06-16T14:46:00Z</dcterms:created>
  <dcterms:modified xsi:type="dcterms:W3CDTF">2025-06-16T14:46:00Z</dcterms:modified>
</cp:coreProperties>
</file>